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8D5" w:rsidRDefault="001538D5" w:rsidP="00C765F2">
      <w:pPr>
        <w:jc w:val="center"/>
        <w:rPr>
          <w:b/>
          <w:bCs/>
        </w:rPr>
      </w:pPr>
      <w:r>
        <w:rPr>
          <w:b/>
          <w:bCs/>
        </w:rPr>
        <w:t>Sokhumi</w:t>
      </w:r>
      <w:r w:rsidRPr="00C765F2">
        <w:rPr>
          <w:b/>
          <w:bCs/>
        </w:rPr>
        <w:t xml:space="preserve"> State University</w:t>
      </w:r>
    </w:p>
    <w:p w:rsidR="001538D5" w:rsidRDefault="001538D5" w:rsidP="00C765F2">
      <w:pPr>
        <w:jc w:val="center"/>
        <w:rPr>
          <w:b/>
          <w:bCs/>
        </w:rPr>
      </w:pPr>
    </w:p>
    <w:p w:rsidR="001538D5" w:rsidRPr="00C765F2" w:rsidRDefault="001538D5" w:rsidP="00C765F2">
      <w:pPr>
        <w:jc w:val="center"/>
        <w:rPr>
          <w:b/>
          <w:bCs/>
        </w:rPr>
      </w:pPr>
      <w:r>
        <w:rPr>
          <w:b/>
          <w:bCs/>
        </w:rPr>
        <w:t>Syllabus</w:t>
      </w:r>
    </w:p>
    <w:p w:rsidR="001538D5" w:rsidRDefault="001538D5"/>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68"/>
        <w:gridCol w:w="7200"/>
      </w:tblGrid>
      <w:tr w:rsidR="001538D5" w:rsidRPr="00C765F2">
        <w:tc>
          <w:tcPr>
            <w:tcW w:w="2268" w:type="dxa"/>
            <w:vAlign w:val="center"/>
          </w:tcPr>
          <w:p w:rsidR="001538D5" w:rsidRPr="00C765F2" w:rsidRDefault="001538D5" w:rsidP="002A063F">
            <w:pPr>
              <w:rPr>
                <w:rFonts w:ascii="Sylfaen" w:hAnsi="Sylfaen" w:cs="Sylfaen"/>
                <w:i/>
                <w:iCs/>
              </w:rPr>
            </w:pPr>
            <w:r w:rsidRPr="00C765F2">
              <w:rPr>
                <w:rFonts w:ascii="Sylfaen" w:hAnsi="Sylfaen" w:cs="Sylfaen"/>
                <w:b/>
                <w:bCs/>
                <w:i/>
                <w:iCs/>
              </w:rPr>
              <w:t>Name of the course</w:t>
            </w:r>
          </w:p>
        </w:tc>
        <w:tc>
          <w:tcPr>
            <w:tcW w:w="7200" w:type="dxa"/>
          </w:tcPr>
          <w:p w:rsidR="001538D5" w:rsidRPr="00C765F2" w:rsidRDefault="001538D5" w:rsidP="00C765F2">
            <w:pPr>
              <w:jc w:val="center"/>
              <w:rPr>
                <w:rFonts w:ascii="Sylfaen" w:hAnsi="Sylfaen" w:cs="Sylfaen"/>
                <w:b/>
                <w:bCs/>
                <w:lang w:val="ka-GE"/>
              </w:rPr>
            </w:pPr>
            <w:r w:rsidRPr="00C765F2">
              <w:rPr>
                <w:rFonts w:ascii="Sylfaen" w:hAnsi="Sylfaen" w:cs="Sylfaen"/>
                <w:b/>
                <w:bCs/>
              </w:rPr>
              <w:t>Human Resource</w:t>
            </w:r>
            <w:r>
              <w:rPr>
                <w:rFonts w:ascii="Sylfaen" w:hAnsi="Sylfaen" w:cs="Sylfaen"/>
                <w:b/>
                <w:bCs/>
              </w:rPr>
              <w:t>s</w:t>
            </w:r>
            <w:r w:rsidRPr="00C765F2">
              <w:rPr>
                <w:rFonts w:ascii="Sylfaen" w:hAnsi="Sylfaen" w:cs="Sylfaen"/>
                <w:b/>
                <w:bCs/>
              </w:rPr>
              <w:t xml:space="preserve"> Management </w:t>
            </w:r>
          </w:p>
        </w:tc>
      </w:tr>
      <w:tr w:rsidR="001538D5" w:rsidRPr="00C765F2">
        <w:tc>
          <w:tcPr>
            <w:tcW w:w="2268" w:type="dxa"/>
            <w:vAlign w:val="center"/>
          </w:tcPr>
          <w:p w:rsidR="001538D5" w:rsidRPr="00C765F2" w:rsidRDefault="001538D5" w:rsidP="002A063F">
            <w:pPr>
              <w:rPr>
                <w:rFonts w:ascii="Sylfaen" w:hAnsi="Sylfaen" w:cs="Sylfaen"/>
                <w:i/>
                <w:iCs/>
              </w:rPr>
            </w:pPr>
            <w:r w:rsidRPr="00C765F2">
              <w:rPr>
                <w:rFonts w:ascii="Sylfaen" w:hAnsi="Sylfaen" w:cs="Sylfaen"/>
                <w:b/>
                <w:bCs/>
                <w:i/>
                <w:iCs/>
              </w:rPr>
              <w:t>Status of the course</w:t>
            </w:r>
          </w:p>
        </w:tc>
        <w:tc>
          <w:tcPr>
            <w:tcW w:w="7200" w:type="dxa"/>
          </w:tcPr>
          <w:p w:rsidR="001538D5" w:rsidRPr="00C765F2" w:rsidRDefault="001538D5" w:rsidP="002A063F">
            <w:pPr>
              <w:rPr>
                <w:rFonts w:ascii="Sylfaen" w:hAnsi="Sylfaen" w:cs="Sylfaen"/>
                <w:lang w:val="ka-GE"/>
              </w:rPr>
            </w:pPr>
            <w:r w:rsidRPr="00D63679">
              <w:rPr>
                <w:rFonts w:ascii="Sylfaen" w:hAnsi="Sylfaen" w:cs="Sylfaen"/>
              </w:rPr>
              <w:t xml:space="preserve">Master programme </w:t>
            </w:r>
            <w:r w:rsidRPr="00D63679">
              <w:rPr>
                <w:rFonts w:ascii="Sylfaen" w:hAnsi="Sylfaen" w:cs="Sylfaen"/>
                <w:b/>
                <w:bCs/>
                <w:lang w:val="ka-GE"/>
              </w:rPr>
              <w:t xml:space="preserve"> </w:t>
            </w:r>
            <w:r w:rsidRPr="00D63679">
              <w:rPr>
                <w:rFonts w:ascii="Sylfaen" w:hAnsi="Sylfaen" w:cs="Sylfaen"/>
                <w:b/>
                <w:bCs/>
              </w:rPr>
              <w:t>“Intercultural Communications”</w:t>
            </w:r>
            <w:r w:rsidRPr="00D63679">
              <w:rPr>
                <w:rFonts w:ascii="Sylfaen" w:hAnsi="Sylfaen" w:cs="Sylfaen"/>
                <w:b/>
                <w:bCs/>
                <w:lang w:val="ka-GE"/>
              </w:rPr>
              <w:t>;</w:t>
            </w:r>
            <w:r w:rsidRPr="00D63679">
              <w:rPr>
                <w:rFonts w:ascii="Sylfaen" w:hAnsi="Sylfaen" w:cs="Sylfaen"/>
              </w:rPr>
              <w:t xml:space="preserve">  II semester, compulsory</w:t>
            </w:r>
          </w:p>
        </w:tc>
      </w:tr>
      <w:tr w:rsidR="001538D5" w:rsidRPr="00C765F2">
        <w:tc>
          <w:tcPr>
            <w:tcW w:w="2268" w:type="dxa"/>
            <w:vAlign w:val="center"/>
          </w:tcPr>
          <w:p w:rsidR="001538D5" w:rsidRPr="00C765F2" w:rsidRDefault="001538D5" w:rsidP="002A063F">
            <w:pPr>
              <w:rPr>
                <w:rFonts w:ascii="Sylfaen" w:hAnsi="Sylfaen" w:cs="Sylfaen"/>
                <w:i/>
                <w:iCs/>
              </w:rPr>
            </w:pPr>
            <w:r w:rsidRPr="00C765F2">
              <w:rPr>
                <w:rFonts w:ascii="Sylfaen" w:hAnsi="Sylfaen" w:cs="Sylfaen"/>
                <w:b/>
                <w:bCs/>
                <w:i/>
                <w:iCs/>
              </w:rPr>
              <w:t>ECTS</w:t>
            </w:r>
          </w:p>
        </w:tc>
        <w:tc>
          <w:tcPr>
            <w:tcW w:w="7200" w:type="dxa"/>
          </w:tcPr>
          <w:p w:rsidR="001538D5" w:rsidRPr="00C765F2" w:rsidRDefault="001538D5" w:rsidP="002A063F">
            <w:pPr>
              <w:rPr>
                <w:rFonts w:ascii="Sylfaen" w:hAnsi="Sylfaen" w:cs="Sylfaen"/>
              </w:rPr>
            </w:pPr>
            <w:r w:rsidRPr="009A13B1">
              <w:rPr>
                <w:rFonts w:ascii="Sylfaen" w:hAnsi="Sylfaen" w:cs="Sylfaen"/>
              </w:rPr>
              <w:t>6 ECTS</w:t>
            </w:r>
            <w:r>
              <w:rPr>
                <w:rFonts w:ascii="Sylfaen" w:hAnsi="Sylfaen" w:cs="Sylfaen"/>
              </w:rPr>
              <w:t>, Total – 150 h., 3 h. a week (</w:t>
            </w:r>
            <w:r w:rsidRPr="009A13B1">
              <w:rPr>
                <w:rFonts w:ascii="Sylfaen" w:hAnsi="Sylfaen" w:cs="Sylfaen"/>
              </w:rPr>
              <w:t>lectures – 30 h., group work – 15 h., midterm review – 2 h., final exam – 3 h.), total contact hours – 50 h., independent work – 100 h., that can be also divided into hours: searching different kind of information, article, book – 50 h., oral and written assignment – 25 h., preparation of midterm and final exam – 25 h.</w:t>
            </w:r>
          </w:p>
        </w:tc>
      </w:tr>
      <w:tr w:rsidR="001538D5" w:rsidRPr="00C765F2">
        <w:tc>
          <w:tcPr>
            <w:tcW w:w="2268" w:type="dxa"/>
            <w:vAlign w:val="center"/>
          </w:tcPr>
          <w:p w:rsidR="001538D5" w:rsidRPr="00C765F2" w:rsidRDefault="001538D5" w:rsidP="00484179">
            <w:pPr>
              <w:rPr>
                <w:rFonts w:ascii="Sylfaen" w:hAnsi="Sylfaen" w:cs="Sylfaen"/>
                <w:b/>
                <w:bCs/>
                <w:i/>
                <w:iCs/>
              </w:rPr>
            </w:pPr>
            <w:r w:rsidRPr="00C765F2">
              <w:rPr>
                <w:rFonts w:ascii="Sylfaen" w:hAnsi="Sylfaen" w:cs="Sylfaen"/>
                <w:b/>
                <w:bCs/>
                <w:i/>
                <w:iCs/>
              </w:rPr>
              <w:t>Course identification/form</w:t>
            </w:r>
          </w:p>
        </w:tc>
        <w:tc>
          <w:tcPr>
            <w:tcW w:w="7200" w:type="dxa"/>
          </w:tcPr>
          <w:p w:rsidR="001538D5" w:rsidRPr="00C765F2" w:rsidRDefault="001538D5" w:rsidP="00484179">
            <w:pPr>
              <w:rPr>
                <w:rFonts w:ascii="Sylfaen" w:hAnsi="Sylfaen" w:cs="Sylfaen"/>
                <w:lang w:val="ka-GE"/>
              </w:rPr>
            </w:pPr>
            <w:r w:rsidRPr="00C765F2">
              <w:rPr>
                <w:rFonts w:ascii="Sylfaen" w:hAnsi="Sylfaen" w:cs="Sylfaen"/>
              </w:rPr>
              <w:t>Lecture</w:t>
            </w:r>
            <w:r w:rsidRPr="00C765F2">
              <w:rPr>
                <w:rFonts w:ascii="Sylfaen" w:hAnsi="Sylfaen" w:cs="Sylfaen"/>
                <w:lang w:val="ka-GE"/>
              </w:rPr>
              <w:t>/</w:t>
            </w:r>
            <w:r w:rsidRPr="00C765F2">
              <w:rPr>
                <w:rFonts w:ascii="Sylfaen" w:hAnsi="Sylfaen" w:cs="Sylfaen"/>
              </w:rPr>
              <w:t>Practical Course</w:t>
            </w:r>
          </w:p>
        </w:tc>
      </w:tr>
      <w:tr w:rsidR="001538D5" w:rsidRPr="00E73AAD">
        <w:trPr>
          <w:trHeight w:val="253"/>
        </w:trPr>
        <w:tc>
          <w:tcPr>
            <w:tcW w:w="2268" w:type="dxa"/>
            <w:vAlign w:val="center"/>
          </w:tcPr>
          <w:p w:rsidR="001538D5" w:rsidRPr="00C765F2" w:rsidRDefault="001538D5" w:rsidP="002A063F">
            <w:pPr>
              <w:rPr>
                <w:rFonts w:ascii="Sylfaen" w:hAnsi="Sylfaen" w:cs="Sylfaen"/>
                <w:b/>
                <w:bCs/>
                <w:i/>
                <w:iCs/>
              </w:rPr>
            </w:pPr>
            <w:r>
              <w:rPr>
                <w:rFonts w:ascii="Sylfaen" w:hAnsi="Sylfaen" w:cs="Sylfaen"/>
                <w:b/>
                <w:bCs/>
                <w:i/>
                <w:iCs/>
              </w:rPr>
              <w:t>Lecturer</w:t>
            </w:r>
          </w:p>
        </w:tc>
        <w:tc>
          <w:tcPr>
            <w:tcW w:w="7200" w:type="dxa"/>
          </w:tcPr>
          <w:p w:rsidR="001538D5" w:rsidRPr="00E73AAD" w:rsidRDefault="001538D5" w:rsidP="0034642E">
            <w:pPr>
              <w:rPr>
                <w:rFonts w:ascii="Sylfaen" w:hAnsi="Sylfaen" w:cs="Sylfaen"/>
                <w:lang w:val="it-IT"/>
              </w:rPr>
            </w:pPr>
            <w:r w:rsidRPr="00E73AAD">
              <w:rPr>
                <w:rFonts w:ascii="Sylfaen" w:hAnsi="Sylfaen" w:cs="Sylfaen"/>
                <w:lang w:val="it-IT"/>
              </w:rPr>
              <w:t xml:space="preserve">Professor Ermile Meskhia, </w:t>
            </w:r>
          </w:p>
          <w:p w:rsidR="001538D5" w:rsidRPr="00C775C4" w:rsidRDefault="001538D5" w:rsidP="0034642E">
            <w:pPr>
              <w:rPr>
                <w:rFonts w:ascii="Sylfaen" w:hAnsi="Sylfaen" w:cs="Sylfaen"/>
                <w:lang w:val="it-IT"/>
              </w:rPr>
            </w:pPr>
            <w:r w:rsidRPr="00C775C4">
              <w:rPr>
                <w:rFonts w:ascii="Sylfaen" w:hAnsi="Sylfaen" w:cs="Sylfaen"/>
                <w:lang w:val="it-IT"/>
              </w:rPr>
              <w:t>Telephone (mobile) +</w:t>
            </w:r>
            <w:r>
              <w:rPr>
                <w:rFonts w:ascii="Sylfaen" w:hAnsi="Sylfaen" w:cs="Sylfaen"/>
                <w:lang w:val="it-IT"/>
              </w:rPr>
              <w:t>995 593325796;</w:t>
            </w:r>
          </w:p>
          <w:p w:rsidR="001538D5" w:rsidRPr="00C775C4" w:rsidRDefault="001538D5" w:rsidP="0034642E">
            <w:pPr>
              <w:rPr>
                <w:rFonts w:ascii="Sylfaen" w:hAnsi="Sylfaen" w:cs="Sylfaen"/>
                <w:lang w:val="it-IT"/>
              </w:rPr>
            </w:pPr>
            <w:r w:rsidRPr="00C775C4">
              <w:rPr>
                <w:rFonts w:ascii="Sylfaen" w:hAnsi="Sylfaen" w:cs="Sylfaen"/>
                <w:lang w:val="it-IT"/>
              </w:rPr>
              <w:t xml:space="preserve">e-mail: </w:t>
            </w:r>
            <w:r>
              <w:rPr>
                <w:rFonts w:ascii="Sylfaen" w:hAnsi="Sylfaen" w:cs="Sylfaen"/>
                <w:lang w:val="it-IT"/>
              </w:rPr>
              <w:t>ermile_mesxia@mail.ru</w:t>
            </w:r>
          </w:p>
        </w:tc>
      </w:tr>
      <w:tr w:rsidR="001538D5" w:rsidRPr="00C765F2">
        <w:trPr>
          <w:trHeight w:val="2894"/>
        </w:trPr>
        <w:tc>
          <w:tcPr>
            <w:tcW w:w="2268" w:type="dxa"/>
            <w:vAlign w:val="center"/>
          </w:tcPr>
          <w:p w:rsidR="001538D5" w:rsidRPr="00C765F2" w:rsidRDefault="001538D5" w:rsidP="002A063F">
            <w:pPr>
              <w:rPr>
                <w:rFonts w:ascii="Sylfaen" w:hAnsi="Sylfaen" w:cs="Sylfaen"/>
                <w:b/>
                <w:bCs/>
                <w:i/>
                <w:iCs/>
              </w:rPr>
            </w:pPr>
            <w:r w:rsidRPr="00F77EB6">
              <w:rPr>
                <w:rFonts w:ascii="Sylfaen" w:hAnsi="Sylfaen" w:cs="Sylfaen"/>
                <w:b/>
                <w:bCs/>
                <w:i/>
                <w:iCs/>
              </w:rPr>
              <w:t>Course Learning Objectives</w:t>
            </w:r>
          </w:p>
        </w:tc>
        <w:tc>
          <w:tcPr>
            <w:tcW w:w="7200" w:type="dxa"/>
          </w:tcPr>
          <w:p w:rsidR="001538D5" w:rsidRDefault="001538D5" w:rsidP="0034642E">
            <w:pPr>
              <w:rPr>
                <w:rFonts w:ascii="Sylfaen" w:hAnsi="Sylfaen" w:cs="Sylfaen"/>
              </w:rPr>
            </w:pPr>
            <w:r w:rsidRPr="00C765F2">
              <w:rPr>
                <w:rFonts w:ascii="Sylfaen" w:hAnsi="Sylfaen" w:cs="Sylfaen"/>
              </w:rPr>
              <w:t xml:space="preserve"> Specialist</w:t>
            </w:r>
            <w:r>
              <w:rPr>
                <w:rFonts w:ascii="Sylfaen" w:hAnsi="Sylfaen" w:cs="Sylfaen"/>
              </w:rPr>
              <w:t>s</w:t>
            </w:r>
            <w:r w:rsidRPr="00C765F2">
              <w:rPr>
                <w:rFonts w:ascii="Sylfaen" w:hAnsi="Sylfaen" w:cs="Sylfaen"/>
              </w:rPr>
              <w:t xml:space="preserve"> should know actual problems linked to the management of human resources.  </w:t>
            </w:r>
          </w:p>
          <w:p w:rsidR="001538D5" w:rsidRPr="00C765F2" w:rsidRDefault="001538D5" w:rsidP="0034642E">
            <w:pPr>
              <w:rPr>
                <w:rFonts w:ascii="Sylfaen" w:hAnsi="Sylfaen" w:cs="Sylfaen"/>
              </w:rPr>
            </w:pPr>
            <w:r w:rsidRPr="00C765F2">
              <w:rPr>
                <w:rFonts w:ascii="Sylfaen" w:hAnsi="Sylfaen" w:cs="Sylfaen"/>
              </w:rPr>
              <w:t>The course considers the processes and methods linked to the management of human resources, principles of working with staff and concrete methods in different circumstances and the ways of motivation. The course presents different aspects of strategy of working on human resources. The course describes the nature and dynamics of processes like the analysis and description of work, attracting and selecting the staff, trainings of the personnel, compensation and carrier management.</w:t>
            </w:r>
          </w:p>
        </w:tc>
      </w:tr>
      <w:tr w:rsidR="001538D5" w:rsidRPr="00C765F2">
        <w:trPr>
          <w:trHeight w:val="177"/>
        </w:trPr>
        <w:tc>
          <w:tcPr>
            <w:tcW w:w="2268" w:type="dxa"/>
            <w:vAlign w:val="center"/>
          </w:tcPr>
          <w:p w:rsidR="001538D5" w:rsidRDefault="001538D5" w:rsidP="002A063F">
            <w:pPr>
              <w:rPr>
                <w:rFonts w:ascii="Sylfaen" w:hAnsi="Sylfaen" w:cs="Sylfaen"/>
                <w:b/>
                <w:bCs/>
                <w:i/>
                <w:iCs/>
              </w:rPr>
            </w:pPr>
            <w:r>
              <w:rPr>
                <w:rFonts w:ascii="Sylfaen" w:hAnsi="Sylfaen" w:cs="Sylfaen"/>
                <w:b/>
                <w:bCs/>
                <w:i/>
                <w:iCs/>
              </w:rPr>
              <w:t xml:space="preserve">Course </w:t>
            </w:r>
            <w:r w:rsidRPr="00C765F2">
              <w:rPr>
                <w:rFonts w:ascii="Sylfaen" w:hAnsi="Sylfaen" w:cs="Sylfaen"/>
                <w:b/>
                <w:bCs/>
                <w:i/>
                <w:iCs/>
              </w:rPr>
              <w:t>Content</w:t>
            </w:r>
          </w:p>
        </w:tc>
        <w:tc>
          <w:tcPr>
            <w:tcW w:w="7200" w:type="dxa"/>
          </w:tcPr>
          <w:p w:rsidR="001538D5" w:rsidRPr="00291C0F" w:rsidRDefault="001538D5" w:rsidP="00B74E81">
            <w:pPr>
              <w:jc w:val="center"/>
              <w:rPr>
                <w:rFonts w:ascii="Sylfaen" w:hAnsi="Sylfaen" w:cs="Sylfaen"/>
                <w:b/>
                <w:bCs/>
                <w:i/>
                <w:iCs/>
              </w:rPr>
            </w:pPr>
            <w:r w:rsidRPr="00291C0F">
              <w:rPr>
                <w:rFonts w:ascii="Sylfaen" w:hAnsi="Sylfaen" w:cs="Sylfaen"/>
                <w:b/>
                <w:bCs/>
                <w:i/>
                <w:iCs/>
              </w:rPr>
              <w:t>See the attachment</w:t>
            </w:r>
          </w:p>
        </w:tc>
      </w:tr>
      <w:tr w:rsidR="001538D5" w:rsidRPr="002722D3">
        <w:tc>
          <w:tcPr>
            <w:tcW w:w="2268" w:type="dxa"/>
            <w:vAlign w:val="center"/>
          </w:tcPr>
          <w:p w:rsidR="001538D5" w:rsidRPr="00B11B92" w:rsidRDefault="001538D5" w:rsidP="002A063F">
            <w:pPr>
              <w:rPr>
                <w:rFonts w:ascii="Sylfaen" w:hAnsi="Sylfaen" w:cs="Sylfaen"/>
                <w:b/>
                <w:bCs/>
                <w:i/>
                <w:iCs/>
              </w:rPr>
            </w:pPr>
            <w:r w:rsidRPr="00B11B92">
              <w:rPr>
                <w:rFonts w:ascii="Sylfaen" w:hAnsi="Sylfaen" w:cs="Sylfaen"/>
                <w:b/>
                <w:bCs/>
                <w:i/>
                <w:iCs/>
                <w:lang w:val="it-IT"/>
              </w:rPr>
              <w:t>Required and additional literature</w:t>
            </w:r>
          </w:p>
        </w:tc>
        <w:tc>
          <w:tcPr>
            <w:tcW w:w="7200" w:type="dxa"/>
          </w:tcPr>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თანამედროვე ორგანიზაციის მართვა, თბ., 2009;</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თ. ხომერიკი, მენეჯმენტი, თბ., 2006;</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ვ. შუბითიძე, საზოგადოებასთან ურთიერთობა, თბ., 2008-2009;</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გ. ჯოლია, ბიზნეს-ეტიკეტი და მოლაპარაკების ხელოვნება, თბ., 2006;</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საშმსრულებლო ხელოვნების მენეჯმენტი. მარკეტინგი, პროექტების მართვა, თბ., 2010;</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დ. დავითულიანი, კულტურის ეკონომიკა, თბ., 2009;</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ბ. ლორდი, გ. დ. ლორდი, სამუზეუმო საქმის მენეჯმენტი, თბ., 2006;</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სამაგიდო წიგნი. დოკუმენტები და მასალები, თბ., 2004;</w:t>
            </w:r>
          </w:p>
          <w:p w:rsidR="001538D5" w:rsidRPr="00291C0F" w:rsidRDefault="001538D5" w:rsidP="00291C0F">
            <w:pPr>
              <w:pStyle w:val="ListParagraph"/>
              <w:numPr>
                <w:ilvl w:val="0"/>
                <w:numId w:val="6"/>
              </w:numPr>
              <w:jc w:val="both"/>
              <w:rPr>
                <w:rFonts w:ascii="Sylfaen" w:hAnsi="Sylfaen" w:cs="Sylfaen"/>
                <w:color w:val="000000"/>
                <w:lang w:val="ka-GE"/>
              </w:rPr>
            </w:pPr>
            <w:r w:rsidRPr="00291C0F">
              <w:rPr>
                <w:rFonts w:ascii="Sylfaen" w:hAnsi="Sylfaen" w:cs="Sylfaen"/>
                <w:color w:val="000000"/>
                <w:lang w:val="ka-GE"/>
              </w:rPr>
              <w:t>საქართველოს შრომის კანონთა კოდექსი.  www.parliament.ge;</w:t>
            </w:r>
          </w:p>
          <w:p w:rsidR="001538D5" w:rsidRPr="00291C0F" w:rsidRDefault="001538D5" w:rsidP="00291C0F">
            <w:pPr>
              <w:pStyle w:val="ListParagraph"/>
              <w:numPr>
                <w:ilvl w:val="0"/>
                <w:numId w:val="6"/>
              </w:numPr>
              <w:jc w:val="both"/>
              <w:rPr>
                <w:rFonts w:ascii="Sylfaen" w:hAnsi="Sylfaen" w:cs="Sylfaen"/>
                <w:color w:val="000000"/>
                <w:lang w:val="ka-GE"/>
              </w:rPr>
            </w:pPr>
            <w:hyperlink r:id="rId5" w:history="1">
              <w:r w:rsidRPr="00CC236C">
                <w:rPr>
                  <w:rStyle w:val="Hyperlink"/>
                  <w:rFonts w:ascii="Sylfaen" w:hAnsi="Sylfaen" w:cs="Sylfaen"/>
                  <w:lang w:val="ka-GE"/>
                </w:rPr>
                <w:t>www.hr.com.ge/ViewNews</w:t>
              </w:r>
            </w:hyperlink>
            <w:r w:rsidRPr="00291C0F">
              <w:rPr>
                <w:rFonts w:ascii="Sylfaen" w:hAnsi="Sylfaen" w:cs="Sylfaen"/>
                <w:color w:val="000000"/>
                <w:lang w:val="ka-GE"/>
              </w:rPr>
              <w:t>;</w:t>
            </w:r>
          </w:p>
          <w:p w:rsidR="001538D5" w:rsidRPr="00C775C4" w:rsidRDefault="001538D5" w:rsidP="00291C0F">
            <w:pPr>
              <w:pStyle w:val="ListParagraph"/>
              <w:numPr>
                <w:ilvl w:val="0"/>
                <w:numId w:val="6"/>
              </w:numPr>
              <w:jc w:val="both"/>
              <w:rPr>
                <w:rFonts w:ascii="Sylfaen" w:hAnsi="Sylfaen" w:cs="Sylfaen"/>
                <w:lang w:val="ka-GE"/>
              </w:rPr>
            </w:pPr>
            <w:r w:rsidRPr="00291C0F">
              <w:rPr>
                <w:rFonts w:ascii="Sylfaen" w:hAnsi="Sylfaen" w:cs="Sylfaen"/>
                <w:color w:val="000000"/>
                <w:lang w:val="ka-GE"/>
              </w:rPr>
              <w:t>www//study.spar.ge/hr.html</w:t>
            </w:r>
          </w:p>
          <w:p w:rsidR="001538D5" w:rsidRPr="00291C0F" w:rsidRDefault="001538D5" w:rsidP="00C775C4">
            <w:pPr>
              <w:pStyle w:val="ListParagraph"/>
              <w:ind w:left="360"/>
              <w:jc w:val="both"/>
              <w:rPr>
                <w:rFonts w:ascii="Sylfaen" w:hAnsi="Sylfaen" w:cs="Sylfaen"/>
                <w:lang w:val="ka-GE"/>
              </w:rPr>
            </w:pPr>
          </w:p>
        </w:tc>
      </w:tr>
      <w:tr w:rsidR="001538D5" w:rsidRPr="00C765F2">
        <w:tc>
          <w:tcPr>
            <w:tcW w:w="2268" w:type="dxa"/>
            <w:vAlign w:val="center"/>
          </w:tcPr>
          <w:p w:rsidR="001538D5" w:rsidRPr="00C765F2" w:rsidRDefault="001538D5" w:rsidP="002A063F">
            <w:pPr>
              <w:rPr>
                <w:rFonts w:ascii="Sylfaen" w:hAnsi="Sylfaen" w:cs="Sylfaen"/>
                <w:b/>
                <w:bCs/>
                <w:i/>
                <w:iCs/>
              </w:rPr>
            </w:pPr>
            <w:r w:rsidRPr="00B11B92">
              <w:rPr>
                <w:rFonts w:ascii="Sylfaen" w:hAnsi="Sylfaen" w:cs="Sylfaen"/>
                <w:b/>
                <w:bCs/>
                <w:i/>
                <w:iCs/>
              </w:rPr>
              <w:t>Course Outcomes</w:t>
            </w:r>
          </w:p>
        </w:tc>
        <w:tc>
          <w:tcPr>
            <w:tcW w:w="7200" w:type="dxa"/>
          </w:tcPr>
          <w:p w:rsidR="001538D5" w:rsidRDefault="001538D5" w:rsidP="002A063F">
            <w:pPr>
              <w:jc w:val="both"/>
              <w:rPr>
                <w:rFonts w:ascii="Sylfaen" w:hAnsi="Sylfaen" w:cs="Sylfaen"/>
              </w:rPr>
            </w:pPr>
            <w:r w:rsidRPr="00C765F2">
              <w:rPr>
                <w:rFonts w:ascii="Sylfaen" w:hAnsi="Sylfaen" w:cs="Sylfaen"/>
              </w:rPr>
              <w:t xml:space="preserve">After the completion of the course </w:t>
            </w:r>
          </w:p>
          <w:p w:rsidR="001538D5" w:rsidRDefault="001538D5" w:rsidP="0032071B">
            <w:pPr>
              <w:pStyle w:val="ListParagraph"/>
              <w:numPr>
                <w:ilvl w:val="0"/>
                <w:numId w:val="5"/>
              </w:numPr>
              <w:jc w:val="both"/>
              <w:rPr>
                <w:rFonts w:ascii="Sylfaen" w:hAnsi="Sylfaen" w:cs="Sylfaen"/>
              </w:rPr>
            </w:pPr>
            <w:r w:rsidRPr="0032071B">
              <w:rPr>
                <w:rFonts w:ascii="Sylfaen" w:hAnsi="Sylfaen" w:cs="Sylfaen"/>
              </w:rPr>
              <w:t xml:space="preserve">the specialist will acquire the knowledge in the management of human resources, which will help him/her to settle </w:t>
            </w:r>
            <w:r>
              <w:rPr>
                <w:rFonts w:ascii="Sylfaen" w:hAnsi="Sylfaen" w:cs="Sylfaen"/>
              </w:rPr>
              <w:t>specific</w:t>
            </w:r>
            <w:r w:rsidRPr="0032071B">
              <w:rPr>
                <w:rFonts w:ascii="Sylfaen" w:hAnsi="Sylfaen" w:cs="Sylfaen"/>
              </w:rPr>
              <w:t xml:space="preserve"> issues</w:t>
            </w:r>
            <w:r>
              <w:rPr>
                <w:rFonts w:ascii="Sylfaen" w:hAnsi="Sylfaen" w:cs="Sylfaen"/>
              </w:rPr>
              <w:t>;</w:t>
            </w:r>
          </w:p>
          <w:p w:rsidR="001538D5" w:rsidRDefault="001538D5" w:rsidP="0032071B">
            <w:pPr>
              <w:pStyle w:val="ListParagraph"/>
              <w:numPr>
                <w:ilvl w:val="0"/>
                <w:numId w:val="5"/>
              </w:numPr>
              <w:jc w:val="both"/>
              <w:rPr>
                <w:rFonts w:ascii="Sylfaen" w:hAnsi="Sylfaen" w:cs="Sylfaen"/>
              </w:rPr>
            </w:pPr>
            <w:r>
              <w:rPr>
                <w:rFonts w:ascii="Sylfaen" w:hAnsi="Sylfaen" w:cs="Sylfaen"/>
              </w:rPr>
              <w:t>the students will be able to build the accurate and practical knowledge of the human resource management;</w:t>
            </w:r>
          </w:p>
          <w:p w:rsidR="001538D5" w:rsidRDefault="001538D5" w:rsidP="0032071B">
            <w:pPr>
              <w:pStyle w:val="ListParagraph"/>
              <w:numPr>
                <w:ilvl w:val="0"/>
                <w:numId w:val="5"/>
              </w:numPr>
              <w:jc w:val="both"/>
              <w:rPr>
                <w:rFonts w:ascii="Sylfaen" w:hAnsi="Sylfaen" w:cs="Sylfaen"/>
              </w:rPr>
            </w:pPr>
            <w:r>
              <w:rPr>
                <w:rFonts w:ascii="Sylfaen" w:hAnsi="Sylfaen" w:cs="Sylfaen"/>
              </w:rPr>
              <w:t>the future specialists will acquire practical skills, manage the conformity of the organization and the staff interests in the organization;</w:t>
            </w:r>
          </w:p>
          <w:p w:rsidR="001538D5" w:rsidRPr="00C765F2" w:rsidRDefault="001538D5" w:rsidP="00AD2CB5">
            <w:pPr>
              <w:pStyle w:val="ListParagraph"/>
              <w:numPr>
                <w:ilvl w:val="0"/>
                <w:numId w:val="5"/>
              </w:numPr>
              <w:jc w:val="both"/>
              <w:rPr>
                <w:rFonts w:ascii="Sylfaen" w:hAnsi="Sylfaen" w:cs="Sylfaen"/>
                <w:lang w:val="ka-GE"/>
              </w:rPr>
            </w:pPr>
            <w:r>
              <w:rPr>
                <w:rFonts w:ascii="Sylfaen" w:hAnsi="Sylfaen" w:cs="Sylfaen"/>
              </w:rPr>
              <w:t xml:space="preserve">with the knowledge and skills, acquired through the offered methodology, the students will be able to manage the human recourses in the organization.    </w:t>
            </w:r>
            <w:r w:rsidRPr="0032071B">
              <w:rPr>
                <w:rFonts w:ascii="Sylfaen" w:hAnsi="Sylfaen" w:cs="Sylfaen"/>
              </w:rPr>
              <w:t xml:space="preserve"> </w:t>
            </w:r>
          </w:p>
        </w:tc>
      </w:tr>
      <w:tr w:rsidR="001538D5" w:rsidRPr="00C765F2">
        <w:tc>
          <w:tcPr>
            <w:tcW w:w="2268" w:type="dxa"/>
          </w:tcPr>
          <w:p w:rsidR="001538D5" w:rsidRPr="00B11B92" w:rsidRDefault="001538D5" w:rsidP="002A063F">
            <w:pPr>
              <w:tabs>
                <w:tab w:val="left" w:pos="2070"/>
              </w:tabs>
              <w:rPr>
                <w:rFonts w:ascii="Sylfaen" w:hAnsi="Sylfaen" w:cs="Sylfaen"/>
                <w:b/>
                <w:bCs/>
                <w:i/>
                <w:iCs/>
                <w:lang w:val="ka-GE"/>
              </w:rPr>
            </w:pPr>
            <w:r w:rsidRPr="00B11B92">
              <w:rPr>
                <w:rFonts w:ascii="Sylfaen" w:hAnsi="Sylfaen" w:cs="Sylfaen"/>
                <w:b/>
                <w:bCs/>
                <w:i/>
                <w:iCs/>
              </w:rPr>
              <w:t xml:space="preserve">Teaching and Learning Methods </w:t>
            </w:r>
          </w:p>
        </w:tc>
        <w:tc>
          <w:tcPr>
            <w:tcW w:w="7200" w:type="dxa"/>
          </w:tcPr>
          <w:p w:rsidR="001538D5" w:rsidRDefault="001538D5" w:rsidP="002A063F">
            <w:pPr>
              <w:jc w:val="both"/>
              <w:rPr>
                <w:rFonts w:ascii="Sylfaen" w:hAnsi="Sylfaen" w:cs="Sylfaen"/>
              </w:rPr>
            </w:pPr>
            <w:r>
              <w:rPr>
                <w:rFonts w:ascii="Sylfaen" w:hAnsi="Sylfaen" w:cs="Sylfaen"/>
              </w:rPr>
              <w:t>The following methods are used:</w:t>
            </w:r>
          </w:p>
          <w:p w:rsidR="001538D5" w:rsidRDefault="001538D5" w:rsidP="0032071B">
            <w:pPr>
              <w:pStyle w:val="ListParagraph"/>
              <w:numPr>
                <w:ilvl w:val="0"/>
                <w:numId w:val="3"/>
              </w:numPr>
              <w:jc w:val="both"/>
              <w:rPr>
                <w:rFonts w:ascii="Sylfaen" w:hAnsi="Sylfaen" w:cs="Sylfaen"/>
              </w:rPr>
            </w:pPr>
            <w:r>
              <w:rPr>
                <w:rFonts w:ascii="Sylfaen" w:hAnsi="Sylfaen" w:cs="Sylfaen"/>
              </w:rPr>
              <w:t>explanation methods;</w:t>
            </w:r>
          </w:p>
          <w:p w:rsidR="001538D5" w:rsidRDefault="001538D5" w:rsidP="0032071B">
            <w:pPr>
              <w:pStyle w:val="ListParagraph"/>
              <w:numPr>
                <w:ilvl w:val="0"/>
                <w:numId w:val="3"/>
              </w:numPr>
              <w:jc w:val="both"/>
              <w:rPr>
                <w:rFonts w:ascii="Sylfaen" w:hAnsi="Sylfaen" w:cs="Sylfaen"/>
              </w:rPr>
            </w:pPr>
            <w:r>
              <w:rPr>
                <w:rFonts w:ascii="Sylfaen" w:hAnsi="Sylfaen" w:cs="Sylfaen"/>
              </w:rPr>
              <w:t>case study</w:t>
            </w:r>
          </w:p>
          <w:p w:rsidR="001538D5" w:rsidRDefault="001538D5" w:rsidP="0032071B">
            <w:pPr>
              <w:pStyle w:val="ListParagraph"/>
              <w:numPr>
                <w:ilvl w:val="0"/>
                <w:numId w:val="3"/>
              </w:numPr>
              <w:jc w:val="both"/>
              <w:rPr>
                <w:rFonts w:ascii="Sylfaen" w:hAnsi="Sylfaen" w:cs="Sylfaen"/>
              </w:rPr>
            </w:pPr>
            <w:r>
              <w:rPr>
                <w:rFonts w:ascii="Sylfaen" w:hAnsi="Sylfaen" w:cs="Sylfaen"/>
              </w:rPr>
              <w:t>demonstration method;</w:t>
            </w:r>
          </w:p>
          <w:p w:rsidR="001538D5" w:rsidRDefault="001538D5" w:rsidP="0032071B">
            <w:pPr>
              <w:pStyle w:val="ListParagraph"/>
              <w:numPr>
                <w:ilvl w:val="0"/>
                <w:numId w:val="3"/>
              </w:numPr>
              <w:jc w:val="both"/>
              <w:rPr>
                <w:rFonts w:ascii="Sylfaen" w:hAnsi="Sylfaen" w:cs="Sylfaen"/>
              </w:rPr>
            </w:pPr>
            <w:r>
              <w:rPr>
                <w:rFonts w:ascii="Sylfaen" w:hAnsi="Sylfaen" w:cs="Sylfaen"/>
              </w:rPr>
              <w:t>analysis method;</w:t>
            </w:r>
          </w:p>
          <w:p w:rsidR="001538D5" w:rsidRDefault="001538D5" w:rsidP="0032071B">
            <w:pPr>
              <w:pStyle w:val="ListParagraph"/>
              <w:numPr>
                <w:ilvl w:val="0"/>
                <w:numId w:val="3"/>
              </w:numPr>
              <w:jc w:val="both"/>
              <w:rPr>
                <w:rFonts w:ascii="Sylfaen" w:hAnsi="Sylfaen" w:cs="Sylfaen"/>
              </w:rPr>
            </w:pPr>
            <w:r>
              <w:rPr>
                <w:rFonts w:ascii="Sylfaen" w:hAnsi="Sylfaen" w:cs="Sylfaen"/>
              </w:rPr>
              <w:t>writing method;</w:t>
            </w:r>
          </w:p>
          <w:p w:rsidR="001538D5" w:rsidRDefault="001538D5" w:rsidP="0032071B">
            <w:pPr>
              <w:pStyle w:val="ListParagraph"/>
              <w:numPr>
                <w:ilvl w:val="0"/>
                <w:numId w:val="3"/>
              </w:numPr>
              <w:jc w:val="both"/>
              <w:rPr>
                <w:rFonts w:ascii="Sylfaen" w:hAnsi="Sylfaen" w:cs="Sylfaen"/>
              </w:rPr>
            </w:pPr>
            <w:r>
              <w:rPr>
                <w:rFonts w:ascii="Sylfaen" w:hAnsi="Sylfaen" w:cs="Sylfaen"/>
              </w:rPr>
              <w:t>verbal method, discussion/debates.</w:t>
            </w:r>
          </w:p>
          <w:p w:rsidR="001538D5" w:rsidRPr="0032071B" w:rsidRDefault="001538D5" w:rsidP="002A063F">
            <w:pPr>
              <w:pStyle w:val="ListParagraph"/>
              <w:numPr>
                <w:ilvl w:val="0"/>
                <w:numId w:val="3"/>
              </w:numPr>
              <w:jc w:val="both"/>
              <w:rPr>
                <w:rFonts w:ascii="Sylfaen" w:hAnsi="Sylfaen" w:cs="Sylfaen"/>
              </w:rPr>
            </w:pPr>
            <w:r>
              <w:rPr>
                <w:rFonts w:ascii="Sylfaen" w:hAnsi="Sylfaen" w:cs="Sylfaen"/>
              </w:rPr>
              <w:t>practical methods.</w:t>
            </w:r>
          </w:p>
        </w:tc>
      </w:tr>
      <w:tr w:rsidR="001538D5" w:rsidRPr="00C765F2">
        <w:tc>
          <w:tcPr>
            <w:tcW w:w="2268" w:type="dxa"/>
          </w:tcPr>
          <w:p w:rsidR="001538D5" w:rsidRPr="00B11B92" w:rsidRDefault="001538D5" w:rsidP="002A063F">
            <w:pPr>
              <w:rPr>
                <w:rFonts w:ascii="Sylfaen" w:hAnsi="Sylfaen" w:cs="Sylfaen"/>
                <w:b/>
                <w:bCs/>
                <w:i/>
                <w:iCs/>
                <w:lang w:val="fr-FR"/>
              </w:rPr>
            </w:pPr>
            <w:r w:rsidRPr="00B11B92">
              <w:rPr>
                <w:rFonts w:ascii="Sylfaen" w:hAnsi="Sylfaen" w:cs="Sylfaen"/>
                <w:b/>
                <w:bCs/>
                <w:i/>
                <w:iCs/>
                <w:lang w:val="fr-FR"/>
              </w:rPr>
              <w:t>Grading system</w:t>
            </w:r>
          </w:p>
        </w:tc>
        <w:tc>
          <w:tcPr>
            <w:tcW w:w="7200" w:type="dxa"/>
          </w:tcPr>
          <w:p w:rsidR="001538D5" w:rsidRPr="00F77EB6" w:rsidRDefault="001538D5" w:rsidP="002A063F">
            <w:pPr>
              <w:jc w:val="both"/>
              <w:rPr>
                <w:rFonts w:ascii="Sylfaen" w:hAnsi="Sylfaen" w:cs="Sylfaen"/>
              </w:rPr>
            </w:pPr>
            <w:r w:rsidRPr="00F77EB6">
              <w:rPr>
                <w:rFonts w:ascii="Sylfaen" w:hAnsi="Sylfaen" w:cs="Sylfaen"/>
              </w:rPr>
              <w:t>Students are assessed in accordance with the grading system of maximum 100 points. The grading system covers the following competences:</w:t>
            </w:r>
          </w:p>
          <w:p w:rsidR="001538D5" w:rsidRPr="00F77EB6" w:rsidRDefault="001538D5" w:rsidP="0032071B">
            <w:pPr>
              <w:pStyle w:val="Default"/>
              <w:numPr>
                <w:ilvl w:val="0"/>
                <w:numId w:val="4"/>
              </w:numPr>
              <w:ind w:left="453"/>
              <w:rPr>
                <w:rFonts w:ascii="AcadNusx" w:hAnsi="AcadNusx" w:cs="AcadNusx"/>
                <w:b/>
                <w:bCs/>
                <w:lang w:val="en-US"/>
              </w:rPr>
            </w:pPr>
            <w:r w:rsidRPr="00F77EB6">
              <w:rPr>
                <w:b/>
                <w:bCs/>
                <w:lang w:val="en-US"/>
              </w:rPr>
              <w:t>attendance   -   0 - 10 points;</w:t>
            </w:r>
          </w:p>
          <w:p w:rsidR="001538D5" w:rsidRDefault="001538D5" w:rsidP="0032071B">
            <w:pPr>
              <w:pStyle w:val="Default"/>
              <w:numPr>
                <w:ilvl w:val="0"/>
                <w:numId w:val="4"/>
              </w:numPr>
              <w:ind w:left="453"/>
              <w:rPr>
                <w:rFonts w:ascii="AcadNusx" w:hAnsi="AcadNusx" w:cs="AcadNusx"/>
                <w:b/>
                <w:bCs/>
                <w:lang w:val="en-US"/>
              </w:rPr>
            </w:pPr>
            <w:r w:rsidRPr="00F77EB6">
              <w:rPr>
                <w:b/>
                <w:bCs/>
                <w:lang w:val="en-US"/>
              </w:rPr>
              <w:t>midterm review</w:t>
            </w:r>
            <w:r>
              <w:rPr>
                <w:b/>
                <w:bCs/>
                <w:lang w:val="en-US"/>
              </w:rPr>
              <w:t xml:space="preserve">  -   0 - </w:t>
            </w:r>
            <w:r w:rsidRPr="00F77EB6">
              <w:rPr>
                <w:b/>
                <w:bCs/>
                <w:lang w:val="en-US"/>
              </w:rPr>
              <w:t>20  points;</w:t>
            </w:r>
          </w:p>
          <w:p w:rsidR="001538D5" w:rsidRDefault="001538D5" w:rsidP="0032071B">
            <w:pPr>
              <w:pStyle w:val="Default"/>
              <w:numPr>
                <w:ilvl w:val="0"/>
                <w:numId w:val="4"/>
              </w:numPr>
              <w:ind w:left="453"/>
              <w:rPr>
                <w:rFonts w:ascii="AcadNusx" w:hAnsi="AcadNusx" w:cs="AcadNusx"/>
                <w:b/>
                <w:bCs/>
                <w:lang w:val="en-US"/>
              </w:rPr>
            </w:pPr>
            <w:r w:rsidRPr="00512327">
              <w:rPr>
                <w:b/>
                <w:bCs/>
                <w:lang w:val="en-US"/>
              </w:rPr>
              <w:t xml:space="preserve">midterm exam </w:t>
            </w:r>
            <w:r w:rsidRPr="00512327">
              <w:rPr>
                <w:rFonts w:ascii="AcadNusx" w:hAnsi="AcadNusx" w:cs="AcadNusx"/>
                <w:b/>
                <w:bCs/>
                <w:lang w:val="ka-GE"/>
              </w:rPr>
              <w:t xml:space="preserve"> –</w:t>
            </w:r>
            <w:r w:rsidRPr="00512327">
              <w:rPr>
                <w:b/>
                <w:bCs/>
                <w:lang w:val="ka-GE"/>
              </w:rPr>
              <w:t xml:space="preserve">  0 - 30 </w:t>
            </w:r>
            <w:r w:rsidRPr="00512327">
              <w:rPr>
                <w:b/>
                <w:bCs/>
                <w:lang w:val="en-US"/>
              </w:rPr>
              <w:t>points</w:t>
            </w:r>
            <w:r w:rsidRPr="00512327">
              <w:rPr>
                <w:rFonts w:ascii="AcadNusx" w:hAnsi="AcadNusx" w:cs="AcadNusx"/>
                <w:b/>
                <w:bCs/>
                <w:lang w:val="ka-GE"/>
              </w:rPr>
              <w:t>;</w:t>
            </w:r>
          </w:p>
          <w:p w:rsidR="001538D5" w:rsidRPr="00512327" w:rsidRDefault="001538D5" w:rsidP="0032071B">
            <w:pPr>
              <w:pStyle w:val="Default"/>
              <w:numPr>
                <w:ilvl w:val="0"/>
                <w:numId w:val="4"/>
              </w:numPr>
              <w:ind w:left="453"/>
              <w:rPr>
                <w:rFonts w:ascii="AcadNusx" w:hAnsi="AcadNusx" w:cs="AcadNusx"/>
                <w:lang w:val="en-US"/>
              </w:rPr>
            </w:pPr>
            <w:r w:rsidRPr="00512327">
              <w:rPr>
                <w:b/>
                <w:bCs/>
                <w:lang w:val="en-US"/>
              </w:rPr>
              <w:t>final exam</w:t>
            </w:r>
            <w:r w:rsidRPr="00512327">
              <w:rPr>
                <w:b/>
                <w:bCs/>
                <w:lang w:val="ka-GE"/>
              </w:rPr>
              <w:t xml:space="preserve"> - 0 - 40  </w:t>
            </w:r>
            <w:r w:rsidRPr="00512327">
              <w:rPr>
                <w:b/>
                <w:bCs/>
                <w:lang w:val="en-US"/>
              </w:rPr>
              <w:t>points</w:t>
            </w:r>
            <w:r>
              <w:rPr>
                <w:b/>
                <w:bCs/>
                <w:lang w:val="en-US"/>
              </w:rPr>
              <w:t xml:space="preserve"> (</w:t>
            </w:r>
            <w:r w:rsidRPr="00512327">
              <w:rPr>
                <w:lang w:val="en-US"/>
              </w:rPr>
              <w:t>0-20 points - written test, 0-20 points – oral exam)</w:t>
            </w:r>
            <w:r>
              <w:rPr>
                <w:lang w:val="en-US"/>
              </w:rPr>
              <w:t>;</w:t>
            </w:r>
          </w:p>
          <w:p w:rsidR="001538D5" w:rsidRPr="0034642E" w:rsidRDefault="001538D5" w:rsidP="0034642E">
            <w:pPr>
              <w:pStyle w:val="Default"/>
              <w:numPr>
                <w:ilvl w:val="0"/>
                <w:numId w:val="4"/>
              </w:numPr>
              <w:ind w:left="453"/>
              <w:rPr>
                <w:rFonts w:ascii="AcadNusx" w:hAnsi="AcadNusx" w:cs="AcadNusx"/>
                <w:b/>
                <w:bCs/>
                <w:lang w:val="en-US"/>
              </w:rPr>
            </w:pPr>
            <w:r w:rsidRPr="00512327">
              <w:rPr>
                <w:b/>
                <w:bCs/>
                <w:lang w:val="en-US"/>
              </w:rPr>
              <w:t>Total</w:t>
            </w:r>
            <w:r w:rsidRPr="00512327">
              <w:rPr>
                <w:b/>
                <w:bCs/>
                <w:lang w:val="ka-GE"/>
              </w:rPr>
              <w:t xml:space="preserve">  -  0-100 </w:t>
            </w:r>
            <w:r w:rsidRPr="00512327">
              <w:rPr>
                <w:b/>
                <w:bCs/>
                <w:lang w:val="en-US"/>
              </w:rPr>
              <w:t>points.</w:t>
            </w:r>
          </w:p>
          <w:p w:rsidR="001538D5" w:rsidRPr="00F77EB6" w:rsidRDefault="001538D5" w:rsidP="002A063F">
            <w:pPr>
              <w:jc w:val="both"/>
              <w:rPr>
                <w:rFonts w:ascii="Sylfaen" w:hAnsi="Sylfaen" w:cs="Sylfaen"/>
              </w:rPr>
            </w:pPr>
            <w:r w:rsidRPr="00F77EB6">
              <w:rPr>
                <w:rFonts w:ascii="Sylfaen" w:hAnsi="Sylfaen" w:cs="Sylfaen"/>
              </w:rPr>
              <w:t>Grading system is of the following type:</w:t>
            </w:r>
          </w:p>
          <w:p w:rsidR="001538D5" w:rsidRPr="00F77EB6" w:rsidRDefault="001538D5" w:rsidP="002A063F">
            <w:pPr>
              <w:pStyle w:val="Default"/>
              <w:rPr>
                <w:lang w:val="ka-GE"/>
              </w:rPr>
            </w:pPr>
            <w:r>
              <w:rPr>
                <w:lang w:val="ka-GE"/>
              </w:rPr>
              <w:t xml:space="preserve">             </w:t>
            </w:r>
            <w:r w:rsidRPr="00F77EB6">
              <w:rPr>
                <w:lang w:val="ka-GE"/>
              </w:rPr>
              <w:t xml:space="preserve">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8"/>
              <w:gridCol w:w="4369"/>
            </w:tblGrid>
            <w:tr w:rsidR="001538D5" w:rsidRPr="00F77EB6">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jc w:val="center"/>
                    <w:rPr>
                      <w:rFonts w:ascii="Sylfaen" w:hAnsi="Sylfaen" w:cs="Sylfaen"/>
                      <w:b/>
                      <w:bCs/>
                    </w:rPr>
                  </w:pPr>
                  <w:r w:rsidRPr="00F77EB6">
                    <w:rPr>
                      <w:rFonts w:ascii="Sylfaen" w:hAnsi="Sylfaen" w:cs="Sylfaen"/>
                      <w:b/>
                      <w:bCs/>
                    </w:rPr>
                    <w:t xml:space="preserve">Points </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jc w:val="center"/>
                    <w:rPr>
                      <w:rFonts w:ascii="Sylfaen" w:hAnsi="Sylfaen" w:cs="Sylfaen"/>
                      <w:b/>
                      <w:bCs/>
                    </w:rPr>
                  </w:pPr>
                  <w:r w:rsidRPr="00F77EB6">
                    <w:rPr>
                      <w:rFonts w:ascii="Sylfaen" w:hAnsi="Sylfaen" w:cs="Sylfaen"/>
                      <w:b/>
                      <w:bCs/>
                    </w:rPr>
                    <w:t>Assessement</w:t>
                  </w:r>
                </w:p>
              </w:tc>
            </w:tr>
            <w:tr w:rsidR="001538D5" w:rsidRPr="00F77EB6">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720"/>
                    <w:jc w:val="both"/>
                  </w:pPr>
                  <w:r w:rsidRPr="00F77EB6">
                    <w:t>91-100</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360"/>
                    <w:jc w:val="both"/>
                  </w:pPr>
                  <w:r w:rsidRPr="00F77EB6">
                    <w:t>( A ) excellent</w:t>
                  </w:r>
                </w:p>
              </w:tc>
            </w:tr>
            <w:tr w:rsidR="001538D5" w:rsidRPr="00F77EB6">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720"/>
                    <w:jc w:val="both"/>
                  </w:pPr>
                  <w:r w:rsidRPr="00F77EB6">
                    <w:t>81-90</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360"/>
                    <w:jc w:val="both"/>
                  </w:pPr>
                  <w:r w:rsidRPr="00F77EB6">
                    <w:t>( B ) very good</w:t>
                  </w:r>
                </w:p>
              </w:tc>
            </w:tr>
            <w:tr w:rsidR="001538D5" w:rsidRPr="00F77EB6">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720"/>
                    <w:jc w:val="both"/>
                  </w:pPr>
                  <w:r w:rsidRPr="00F77EB6">
                    <w:t>71-80</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360"/>
                    <w:jc w:val="both"/>
                  </w:pPr>
                  <w:r w:rsidRPr="00F77EB6">
                    <w:t>( C ) good</w:t>
                  </w:r>
                </w:p>
              </w:tc>
            </w:tr>
            <w:tr w:rsidR="001538D5" w:rsidRPr="00F77EB6">
              <w:trPr>
                <w:trHeight w:val="368"/>
              </w:trPr>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720"/>
                    <w:jc w:val="both"/>
                  </w:pPr>
                  <w:r w:rsidRPr="00F77EB6">
                    <w:t>61-70</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360"/>
                    <w:jc w:val="both"/>
                  </w:pPr>
                  <w:r w:rsidRPr="00F77EB6">
                    <w:t>( D ) satisfactory</w:t>
                  </w:r>
                </w:p>
              </w:tc>
            </w:tr>
            <w:tr w:rsidR="001538D5" w:rsidRPr="00F77EB6">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720"/>
                    <w:jc w:val="both"/>
                  </w:pPr>
                  <w:r w:rsidRPr="00F77EB6">
                    <w:t>51-60</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ind w:left="360"/>
                    <w:jc w:val="both"/>
                  </w:pPr>
                  <w:r w:rsidRPr="00F77EB6">
                    <w:t>( E ) passing</w:t>
                  </w:r>
                </w:p>
              </w:tc>
            </w:tr>
            <w:tr w:rsidR="001538D5" w:rsidRPr="00C26E0F">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jc w:val="center"/>
                    <w:rPr>
                      <w:rFonts w:ascii="Sylfaen" w:hAnsi="Sylfaen" w:cs="Sylfaen"/>
                      <w:b/>
                      <w:bCs/>
                    </w:rPr>
                  </w:pPr>
                  <w:r w:rsidRPr="00F77EB6">
                    <w:rPr>
                      <w:rFonts w:ascii="Sylfaen" w:hAnsi="Sylfaen" w:cs="Sylfaen"/>
                      <w:b/>
                      <w:bCs/>
                    </w:rPr>
                    <w:t>41-50</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jc w:val="both"/>
                    <w:rPr>
                      <w:rFonts w:ascii="AcadNusx" w:hAnsi="AcadNusx" w:cs="AcadNusx"/>
                      <w:lang w:val="ka-GE"/>
                    </w:rPr>
                  </w:pPr>
                  <w:r w:rsidRPr="00F77EB6">
                    <w:rPr>
                      <w:rFonts w:ascii="Sylfaen" w:hAnsi="Sylfaen" w:cs="Sylfaen"/>
                      <w:lang w:val="ka-GE"/>
                    </w:rPr>
                    <w:t xml:space="preserve">       </w:t>
                  </w:r>
                  <w:r w:rsidRPr="00F77EB6">
                    <w:rPr>
                      <w:rFonts w:ascii="Sylfaen" w:hAnsi="Sylfaen" w:cs="Sylfaen"/>
                      <w:b/>
                      <w:bCs/>
                    </w:rPr>
                    <w:t xml:space="preserve">(FX) </w:t>
                  </w:r>
                  <w:r w:rsidRPr="00F77EB6">
                    <w:t>failed; student has to work harder to has the right to retake the final exam once</w:t>
                  </w:r>
                </w:p>
              </w:tc>
            </w:tr>
            <w:tr w:rsidR="001538D5" w:rsidRPr="00C26E0F">
              <w:tc>
                <w:tcPr>
                  <w:tcW w:w="1818"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jc w:val="center"/>
                    <w:rPr>
                      <w:rFonts w:ascii="Sylfaen" w:hAnsi="Sylfaen" w:cs="Sylfaen"/>
                      <w:b/>
                      <w:bCs/>
                    </w:rPr>
                  </w:pPr>
                  <w:r w:rsidRPr="00F77EB6">
                    <w:rPr>
                      <w:rFonts w:ascii="Sylfaen" w:hAnsi="Sylfaen" w:cs="Sylfaen"/>
                      <w:b/>
                      <w:bCs/>
                    </w:rPr>
                    <w:t>0-40</w:t>
                  </w:r>
                </w:p>
              </w:tc>
              <w:tc>
                <w:tcPr>
                  <w:tcW w:w="4369" w:type="dxa"/>
                  <w:tcBorders>
                    <w:top w:val="single" w:sz="4" w:space="0" w:color="auto"/>
                    <w:left w:val="single" w:sz="4" w:space="0" w:color="auto"/>
                    <w:bottom w:val="single" w:sz="4" w:space="0" w:color="auto"/>
                    <w:right w:val="single" w:sz="4" w:space="0" w:color="auto"/>
                  </w:tcBorders>
                </w:tcPr>
                <w:p w:rsidR="001538D5" w:rsidRPr="00F77EB6" w:rsidRDefault="001538D5" w:rsidP="002A063F">
                  <w:pPr>
                    <w:jc w:val="both"/>
                  </w:pPr>
                  <w:r w:rsidRPr="00F77EB6">
                    <w:rPr>
                      <w:rFonts w:ascii="AcadNusx" w:hAnsi="AcadNusx" w:cs="AcadNusx"/>
                    </w:rPr>
                    <w:t xml:space="preserve">    </w:t>
                  </w:r>
                  <w:r w:rsidRPr="00F77EB6">
                    <w:rPr>
                      <w:rFonts w:ascii="Sylfaen" w:hAnsi="Sylfaen" w:cs="Sylfaen"/>
                      <w:b/>
                      <w:bCs/>
                    </w:rPr>
                    <w:t xml:space="preserve">(F) </w:t>
                  </w:r>
                  <w:r w:rsidRPr="00F77EB6">
                    <w:rPr>
                      <w:rFonts w:ascii="Sylfaen" w:hAnsi="Sylfaen" w:cs="Sylfaen"/>
                      <w:b/>
                      <w:bCs/>
                      <w:lang w:val="ka-GE"/>
                    </w:rPr>
                    <w:t xml:space="preserve"> </w:t>
                  </w:r>
                  <w:r w:rsidRPr="00F77EB6">
                    <w:t>failed; the work done by the student is not sufficient, course has to be retaken.</w:t>
                  </w:r>
                </w:p>
                <w:p w:rsidR="001538D5" w:rsidRPr="00F77EB6" w:rsidRDefault="001538D5" w:rsidP="002A063F"/>
                <w:p w:rsidR="001538D5" w:rsidRPr="00F77EB6" w:rsidRDefault="001538D5" w:rsidP="002A063F">
                  <w:pPr>
                    <w:jc w:val="both"/>
                    <w:rPr>
                      <w:rFonts w:ascii="AcadNusx" w:hAnsi="AcadNusx" w:cs="AcadNusx"/>
                    </w:rPr>
                  </w:pPr>
                </w:p>
              </w:tc>
            </w:tr>
          </w:tbl>
          <w:p w:rsidR="001538D5" w:rsidRPr="00B11B92" w:rsidRDefault="001538D5" w:rsidP="002A063F">
            <w:pPr>
              <w:pStyle w:val="Default"/>
              <w:rPr>
                <w:rFonts w:cs="Times New Roman"/>
                <w:lang w:val="ka-GE"/>
              </w:rPr>
            </w:pPr>
          </w:p>
        </w:tc>
      </w:tr>
    </w:tbl>
    <w:p w:rsidR="001538D5" w:rsidRDefault="001538D5" w:rsidP="0034642E">
      <w:pPr>
        <w:jc w:val="right"/>
        <w:rPr>
          <w:rFonts w:ascii="Sylfaen" w:hAnsi="Sylfaen" w:cs="Sylfaen"/>
          <w:b/>
          <w:bCs/>
          <w:i/>
          <w:iCs/>
          <w:sz w:val="28"/>
          <w:szCs w:val="28"/>
        </w:rPr>
      </w:pPr>
    </w:p>
    <w:p w:rsidR="001538D5" w:rsidRPr="00291C0F" w:rsidRDefault="001538D5" w:rsidP="0034642E">
      <w:pPr>
        <w:jc w:val="right"/>
        <w:rPr>
          <w:rFonts w:ascii="Sylfaen" w:hAnsi="Sylfaen" w:cs="Sylfaen"/>
          <w:b/>
          <w:bCs/>
          <w:i/>
          <w:iCs/>
          <w:sz w:val="28"/>
          <w:szCs w:val="28"/>
        </w:rPr>
      </w:pPr>
      <w:r w:rsidRPr="00291C0F">
        <w:rPr>
          <w:rFonts w:ascii="Sylfaen" w:hAnsi="Sylfaen" w:cs="Sylfaen"/>
          <w:b/>
          <w:bCs/>
          <w:i/>
          <w:iCs/>
          <w:sz w:val="28"/>
          <w:szCs w:val="28"/>
        </w:rPr>
        <w:t>Attachment</w:t>
      </w:r>
    </w:p>
    <w:p w:rsidR="001538D5" w:rsidRPr="0032071B" w:rsidRDefault="001538D5" w:rsidP="0048035C">
      <w:pPr>
        <w:jc w:val="right"/>
        <w:rPr>
          <w:rFonts w:ascii="Sylfaen" w:hAnsi="Sylfaen" w:cs="Sylfaen"/>
          <w:b/>
          <w:bCs/>
        </w:rPr>
      </w:pP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26"/>
        <w:gridCol w:w="7654"/>
      </w:tblGrid>
      <w:tr w:rsidR="001538D5" w:rsidRPr="00B11B92">
        <w:tc>
          <w:tcPr>
            <w:tcW w:w="1526" w:type="dxa"/>
          </w:tcPr>
          <w:p w:rsidR="001538D5" w:rsidRPr="00CC236C" w:rsidRDefault="001538D5" w:rsidP="00CC236C">
            <w:pPr>
              <w:jc w:val="center"/>
              <w:rPr>
                <w:rFonts w:ascii="Sylfaen" w:hAnsi="Sylfaen" w:cs="Sylfaen"/>
                <w:b/>
                <w:bCs/>
                <w:sz w:val="28"/>
                <w:szCs w:val="28"/>
                <w:lang w:val="ru-RU"/>
              </w:rPr>
            </w:pPr>
            <w:r w:rsidRPr="00CC236C">
              <w:rPr>
                <w:rFonts w:ascii="Sylfaen" w:hAnsi="Sylfaen" w:cs="Sylfaen"/>
                <w:b/>
                <w:bCs/>
                <w:sz w:val="28"/>
                <w:szCs w:val="28"/>
                <w:lang w:val="ru-RU"/>
              </w:rPr>
              <w:t>№</w:t>
            </w:r>
          </w:p>
        </w:tc>
        <w:tc>
          <w:tcPr>
            <w:tcW w:w="7654" w:type="dxa"/>
          </w:tcPr>
          <w:p w:rsidR="001538D5" w:rsidRPr="00CC236C" w:rsidRDefault="001538D5" w:rsidP="00CC236C">
            <w:pPr>
              <w:jc w:val="center"/>
              <w:rPr>
                <w:rFonts w:ascii="Sylfaen" w:hAnsi="Sylfaen" w:cs="Sylfaen"/>
                <w:b/>
                <w:bCs/>
                <w:sz w:val="28"/>
                <w:szCs w:val="28"/>
              </w:rPr>
            </w:pPr>
            <w:r w:rsidRPr="00CC236C">
              <w:rPr>
                <w:rFonts w:ascii="Sylfaen" w:hAnsi="Sylfaen" w:cs="Sylfaen"/>
                <w:b/>
                <w:bCs/>
                <w:sz w:val="28"/>
                <w:szCs w:val="28"/>
              </w:rPr>
              <w:t xml:space="preserve">Lectures </w:t>
            </w:r>
          </w:p>
        </w:tc>
      </w:tr>
      <w:tr w:rsidR="001538D5" w:rsidRPr="00C26E0F">
        <w:tc>
          <w:tcPr>
            <w:tcW w:w="1526" w:type="dxa"/>
          </w:tcPr>
          <w:p w:rsidR="001538D5" w:rsidRPr="00CC236C" w:rsidRDefault="001538D5" w:rsidP="00CC236C">
            <w:pPr>
              <w:jc w:val="center"/>
              <w:rPr>
                <w:rFonts w:ascii="Sylfaen" w:hAnsi="Sylfaen" w:cs="Sylfaen"/>
              </w:rPr>
            </w:pPr>
            <w:r w:rsidRPr="00CC236C">
              <w:rPr>
                <w:rFonts w:ascii="Sylfaen" w:hAnsi="Sylfaen" w:cs="Sylfaen"/>
              </w:rPr>
              <w:t>I-II week</w:t>
            </w:r>
          </w:p>
          <w:p w:rsidR="001538D5" w:rsidRPr="00CC236C" w:rsidRDefault="001538D5" w:rsidP="00CC236C">
            <w:pPr>
              <w:pStyle w:val="ListParagraph"/>
              <w:ind w:left="0"/>
              <w:jc w:val="center"/>
              <w:rPr>
                <w:rFonts w:ascii="Sylfaen" w:hAnsi="Sylfaen" w:cs="Sylfaen"/>
              </w:rPr>
            </w:pP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4 h.</w:t>
            </w:r>
          </w:p>
          <w:p w:rsidR="001538D5" w:rsidRPr="00CC236C" w:rsidRDefault="001538D5" w:rsidP="00CC236C">
            <w:pPr>
              <w:ind w:left="360"/>
              <w:jc w:val="both"/>
              <w:rPr>
                <w:rFonts w:ascii="Sylfaen" w:hAnsi="Sylfaen" w:cs="Sylfaen"/>
              </w:rPr>
            </w:pPr>
            <w:r w:rsidRPr="00CC236C">
              <w:rPr>
                <w:rFonts w:ascii="Sylfaen" w:hAnsi="Sylfaen" w:cs="Sylfaen"/>
                <w:sz w:val="22"/>
                <w:szCs w:val="22"/>
              </w:rPr>
              <w:t xml:space="preserve">The notion, objectives, aims, systems and technologies of human resources management </w:t>
            </w:r>
          </w:p>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Group work – 2 h.</w:t>
            </w:r>
          </w:p>
        </w:tc>
      </w:tr>
      <w:tr w:rsidR="001538D5" w:rsidRPr="00C26E0F">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III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Strategy and policy of human resources management;</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rsidRPr="00C26E0F">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IV–V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4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 xml:space="preserve">Planning of human resources; </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2 h.</w:t>
            </w:r>
          </w:p>
        </w:tc>
      </w:tr>
      <w:tr w:rsidR="001538D5" w:rsidRPr="00B11B92">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VI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b/>
                <w:bCs/>
              </w:rPr>
            </w:pPr>
            <w:r w:rsidRPr="00CC236C">
              <w:rPr>
                <w:rFonts w:ascii="Sylfaen" w:hAnsi="Sylfaen" w:cs="Sylfaen"/>
                <w:sz w:val="22"/>
                <w:szCs w:val="22"/>
              </w:rPr>
              <w:t>To attract the personnel; Methods and criteria of selection;</w:t>
            </w:r>
            <w:r w:rsidRPr="00CC236C">
              <w:rPr>
                <w:rFonts w:ascii="Sylfaen" w:hAnsi="Sylfaen" w:cs="Sylfaen"/>
                <w:b/>
                <w:bCs/>
                <w:sz w:val="22"/>
                <w:szCs w:val="22"/>
              </w:rPr>
              <w:t xml:space="preserve"> </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rsidRPr="00C26E0F">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VII- VIII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4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lang w:val="ka-GE"/>
              </w:rPr>
              <w:t xml:space="preserve">Functions and tasks for the </w:t>
            </w:r>
            <w:r w:rsidRPr="00CC236C">
              <w:rPr>
                <w:rFonts w:ascii="Sylfaen" w:hAnsi="Sylfaen" w:cs="Sylfaen"/>
                <w:sz w:val="22"/>
                <w:szCs w:val="22"/>
              </w:rPr>
              <w:t xml:space="preserve">human resources manager; </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2 h.</w:t>
            </w:r>
          </w:p>
        </w:tc>
      </w:tr>
      <w:tr w:rsidR="001538D5" w:rsidRPr="00B11B92">
        <w:trPr>
          <w:trHeight w:val="231"/>
        </w:trPr>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IX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 xml:space="preserve">Job analysis and job description; </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rsidRPr="00B11B92">
        <w:trPr>
          <w:trHeight w:val="462"/>
        </w:trPr>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X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 xml:space="preserve">Compensation for the personnel and career management; </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rsidRPr="00C26E0F">
        <w:trPr>
          <w:trHeight w:val="450"/>
        </w:trPr>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XI week</w:t>
            </w:r>
          </w:p>
          <w:p w:rsidR="001538D5" w:rsidRPr="00CC236C" w:rsidRDefault="001538D5" w:rsidP="00CC236C">
            <w:pPr>
              <w:spacing w:before="120"/>
              <w:jc w:val="center"/>
              <w:rPr>
                <w:rFonts w:ascii="Sylfaen" w:hAnsi="Sylfaen" w:cs="Sylfaen"/>
              </w:rPr>
            </w:pP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 xml:space="preserve">Conflicts and conflict management; </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rsidRPr="00C26E0F">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XII week</w:t>
            </w:r>
          </w:p>
        </w:tc>
        <w:tc>
          <w:tcPr>
            <w:tcW w:w="7654" w:type="dxa"/>
          </w:tcPr>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Midterm exam -2 h.</w:t>
            </w:r>
          </w:p>
        </w:tc>
      </w:tr>
      <w:tr w:rsidR="001538D5" w:rsidRPr="00C26E0F">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XIII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 xml:space="preserve">Development of the personnel qualification and trainings </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rsidRPr="00C26E0F">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 xml:space="preserve">XIV week </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Legislation in human resources management</w:t>
            </w:r>
          </w:p>
          <w:p w:rsidR="001538D5" w:rsidRPr="00CC236C" w:rsidRDefault="001538D5" w:rsidP="00CC236C">
            <w:pPr>
              <w:spacing w:before="120"/>
              <w:ind w:left="360"/>
              <w:jc w:val="both"/>
              <w:rPr>
                <w:rFonts w:ascii="Sylfaen" w:hAnsi="Sylfaen" w:cs="Sylfaen"/>
                <w:b/>
                <w:bCs/>
                <w:lang w:val="ka-GE"/>
              </w:rPr>
            </w:pPr>
            <w:r w:rsidRPr="00CC236C">
              <w:rPr>
                <w:rFonts w:ascii="Sylfaen" w:hAnsi="Sylfaen" w:cs="Sylfaen"/>
                <w:b/>
                <w:bCs/>
                <w:sz w:val="22"/>
                <w:szCs w:val="22"/>
              </w:rPr>
              <w:t>Group work – 1 h.</w:t>
            </w:r>
          </w:p>
        </w:tc>
      </w:tr>
      <w:tr w:rsidR="001538D5" w:rsidRPr="00B11B92">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 xml:space="preserve">XV week </w:t>
            </w:r>
          </w:p>
          <w:p w:rsidR="001538D5" w:rsidRPr="00CC236C" w:rsidRDefault="001538D5" w:rsidP="00CC236C">
            <w:pPr>
              <w:spacing w:before="120"/>
              <w:jc w:val="center"/>
              <w:rPr>
                <w:rFonts w:ascii="Sylfaen" w:hAnsi="Sylfaen" w:cs="Sylfaen"/>
              </w:rPr>
            </w:pP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lang w:val="ka-GE"/>
              </w:rPr>
              <w:t>International experience of HRM. Cooperation with employees in western Europe.</w:t>
            </w:r>
            <w:r w:rsidRPr="00CC236C">
              <w:rPr>
                <w:rFonts w:ascii="Sylfaen" w:hAnsi="Sylfaen" w:cs="Sylfaen"/>
                <w:sz w:val="22"/>
                <w:szCs w:val="22"/>
              </w:rPr>
              <w:t xml:space="preserve"> The policy of the personnel management in the countries of the European Union.</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rsidRPr="00C26E0F">
        <w:trPr>
          <w:trHeight w:val="405"/>
        </w:trPr>
        <w:tc>
          <w:tcPr>
            <w:tcW w:w="1526" w:type="dxa"/>
          </w:tcPr>
          <w:p w:rsidR="001538D5" w:rsidRPr="00CC236C" w:rsidRDefault="001538D5" w:rsidP="00CC236C">
            <w:pPr>
              <w:spacing w:before="120"/>
              <w:jc w:val="center"/>
              <w:rPr>
                <w:rFonts w:ascii="Sylfaen" w:hAnsi="Sylfaen" w:cs="Sylfaen"/>
              </w:rPr>
            </w:pPr>
            <w:r w:rsidRPr="00CC236C">
              <w:rPr>
                <w:rFonts w:ascii="Sylfaen" w:hAnsi="Sylfaen" w:cs="Sylfaen"/>
              </w:rPr>
              <w:t>XVI 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Lecture – 2 h.</w:t>
            </w:r>
          </w:p>
          <w:p w:rsidR="001538D5" w:rsidRPr="00CC236C" w:rsidRDefault="001538D5" w:rsidP="00CC236C">
            <w:pPr>
              <w:spacing w:before="120"/>
              <w:ind w:left="360"/>
              <w:jc w:val="both"/>
              <w:rPr>
                <w:rFonts w:ascii="Sylfaen" w:hAnsi="Sylfaen" w:cs="Sylfaen"/>
              </w:rPr>
            </w:pPr>
            <w:r w:rsidRPr="00CC236C">
              <w:rPr>
                <w:rFonts w:ascii="Sylfaen" w:hAnsi="Sylfaen" w:cs="Sylfaen"/>
                <w:sz w:val="22"/>
                <w:szCs w:val="22"/>
              </w:rPr>
              <w:t>Strategy and policy of human resources management;</w:t>
            </w:r>
          </w:p>
          <w:p w:rsidR="001538D5" w:rsidRPr="00CC236C" w:rsidRDefault="001538D5" w:rsidP="00CC236C">
            <w:pPr>
              <w:spacing w:before="120"/>
              <w:ind w:left="360"/>
              <w:jc w:val="both"/>
              <w:rPr>
                <w:rFonts w:ascii="Sylfaen" w:hAnsi="Sylfaen" w:cs="Sylfaen"/>
                <w:lang w:val="ka-GE"/>
              </w:rPr>
            </w:pPr>
            <w:r w:rsidRPr="00CC236C">
              <w:rPr>
                <w:rFonts w:ascii="Sylfaen" w:hAnsi="Sylfaen" w:cs="Sylfaen"/>
                <w:b/>
                <w:bCs/>
                <w:sz w:val="22"/>
                <w:szCs w:val="22"/>
              </w:rPr>
              <w:t>Group work – 1 h.</w:t>
            </w:r>
          </w:p>
        </w:tc>
      </w:tr>
      <w:tr w:rsidR="001538D5">
        <w:tblPrEx>
          <w:tblLook w:val="0000"/>
        </w:tblPrEx>
        <w:trPr>
          <w:trHeight w:val="204"/>
        </w:trPr>
        <w:tc>
          <w:tcPr>
            <w:tcW w:w="1526" w:type="dxa"/>
          </w:tcPr>
          <w:p w:rsidR="001538D5" w:rsidRPr="00CC236C" w:rsidRDefault="001538D5" w:rsidP="00CC236C">
            <w:pPr>
              <w:ind w:left="108"/>
              <w:jc w:val="center"/>
              <w:rPr>
                <w:rFonts w:ascii="Sylfaen" w:hAnsi="Sylfaen" w:cs="Sylfaen"/>
              </w:rPr>
            </w:pPr>
            <w:r w:rsidRPr="00CC236C">
              <w:rPr>
                <w:rFonts w:ascii="Sylfaen" w:hAnsi="Sylfaen" w:cs="Sylfaen"/>
              </w:rPr>
              <w:t>XVII</w:t>
            </w:r>
          </w:p>
          <w:p w:rsidR="001538D5" w:rsidRPr="00CC236C" w:rsidRDefault="001538D5" w:rsidP="00CC236C">
            <w:pPr>
              <w:ind w:left="108"/>
              <w:jc w:val="center"/>
              <w:rPr>
                <w:rFonts w:ascii="Sylfaen" w:hAnsi="Sylfaen" w:cs="Sylfaen"/>
              </w:rPr>
            </w:pPr>
            <w:r w:rsidRPr="00CC236C">
              <w:rPr>
                <w:rFonts w:ascii="Sylfaen" w:hAnsi="Sylfaen" w:cs="Sylfaen"/>
              </w:rPr>
              <w:t>week</w:t>
            </w:r>
          </w:p>
        </w:tc>
        <w:tc>
          <w:tcPr>
            <w:tcW w:w="7654" w:type="dxa"/>
          </w:tcPr>
          <w:p w:rsidR="001538D5" w:rsidRPr="00CC236C" w:rsidRDefault="001538D5" w:rsidP="00CC236C">
            <w:pPr>
              <w:ind w:left="360"/>
              <w:jc w:val="both"/>
              <w:rPr>
                <w:rFonts w:ascii="Sylfaen" w:hAnsi="Sylfaen" w:cs="Sylfaen"/>
                <w:b/>
                <w:bCs/>
              </w:rPr>
            </w:pPr>
            <w:r w:rsidRPr="00CC236C">
              <w:rPr>
                <w:rFonts w:ascii="Sylfaen" w:hAnsi="Sylfaen" w:cs="Sylfaen"/>
                <w:b/>
                <w:bCs/>
                <w:sz w:val="22"/>
                <w:szCs w:val="22"/>
              </w:rPr>
              <w:t>Midterm review – 2 h.</w:t>
            </w:r>
          </w:p>
        </w:tc>
      </w:tr>
      <w:tr w:rsidR="001538D5">
        <w:tblPrEx>
          <w:tblLook w:val="0000"/>
        </w:tblPrEx>
        <w:trPr>
          <w:trHeight w:val="204"/>
        </w:trPr>
        <w:tc>
          <w:tcPr>
            <w:tcW w:w="1526" w:type="dxa"/>
          </w:tcPr>
          <w:p w:rsidR="001538D5" w:rsidRPr="00CC236C" w:rsidRDefault="001538D5" w:rsidP="00CC236C">
            <w:pPr>
              <w:ind w:left="108"/>
              <w:jc w:val="center"/>
              <w:rPr>
                <w:rFonts w:ascii="Sylfaen" w:hAnsi="Sylfaen" w:cs="Sylfaen"/>
              </w:rPr>
            </w:pPr>
            <w:r w:rsidRPr="00CC236C">
              <w:rPr>
                <w:rFonts w:ascii="Sylfaen" w:hAnsi="Sylfaen" w:cs="Sylfaen"/>
              </w:rPr>
              <w:t>XVIII-XX</w:t>
            </w:r>
          </w:p>
          <w:p w:rsidR="001538D5" w:rsidRPr="00CC236C" w:rsidRDefault="001538D5" w:rsidP="00CC236C">
            <w:pPr>
              <w:ind w:left="108"/>
              <w:jc w:val="center"/>
              <w:rPr>
                <w:rFonts w:ascii="Sylfaen" w:hAnsi="Sylfaen" w:cs="Sylfaen"/>
              </w:rPr>
            </w:pPr>
            <w:r w:rsidRPr="00CC236C">
              <w:rPr>
                <w:rFonts w:ascii="Sylfaen" w:hAnsi="Sylfaen" w:cs="Sylfaen"/>
              </w:rPr>
              <w:t>week</w:t>
            </w:r>
          </w:p>
        </w:tc>
        <w:tc>
          <w:tcPr>
            <w:tcW w:w="7654" w:type="dxa"/>
          </w:tcPr>
          <w:p w:rsidR="001538D5" w:rsidRPr="00CC236C" w:rsidRDefault="001538D5" w:rsidP="00CC236C">
            <w:pPr>
              <w:ind w:left="360"/>
              <w:jc w:val="both"/>
              <w:rPr>
                <w:rFonts w:ascii="Sylfaen" w:hAnsi="Sylfaen" w:cs="Sylfaen"/>
              </w:rPr>
            </w:pPr>
            <w:r w:rsidRPr="00CC236C">
              <w:rPr>
                <w:b/>
                <w:bCs/>
                <w:sz w:val="22"/>
                <w:szCs w:val="22"/>
              </w:rPr>
              <w:t>Final exam and  re-examination</w:t>
            </w:r>
            <w:r w:rsidRPr="00CC236C">
              <w:rPr>
                <w:sz w:val="22"/>
                <w:szCs w:val="22"/>
              </w:rPr>
              <w:t xml:space="preserve"> (if necessary)</w:t>
            </w:r>
          </w:p>
        </w:tc>
      </w:tr>
    </w:tbl>
    <w:p w:rsidR="001538D5" w:rsidRDefault="001538D5" w:rsidP="00B74E81">
      <w:pPr>
        <w:jc w:val="both"/>
        <w:rPr>
          <w:rFonts w:ascii="Sylfaen" w:hAnsi="Sylfaen" w:cs="Sylfaen"/>
        </w:rPr>
      </w:pPr>
    </w:p>
    <w:p w:rsidR="001538D5" w:rsidRDefault="001538D5" w:rsidP="00AE57F6">
      <w:pPr>
        <w:jc w:val="both"/>
        <w:rPr>
          <w:rFonts w:ascii="Sylfaen" w:hAnsi="Sylfaen" w:cs="Sylfaen"/>
        </w:rPr>
      </w:pPr>
    </w:p>
    <w:sectPr w:rsidR="001538D5" w:rsidSect="00D545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cadNusx">
    <w:panose1 w:val="00000000000000000000"/>
    <w:charset w:val="00"/>
    <w:family w:val="auto"/>
    <w:pitch w:val="variable"/>
    <w:sig w:usb0="00000287" w:usb1="00000000" w:usb2="00000000" w:usb3="00000000" w:csb0="0000001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A2221A"/>
    <w:multiLevelType w:val="hybridMultilevel"/>
    <w:tmpl w:val="C54EB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130C61AC"/>
    <w:multiLevelType w:val="hybridMultilevel"/>
    <w:tmpl w:val="18585684"/>
    <w:lvl w:ilvl="0" w:tplc="5B844186">
      <w:start w:val="1"/>
      <w:numFmt w:val="decimal"/>
      <w:lvlText w:val="%1."/>
      <w:lvlJc w:val="left"/>
      <w:pPr>
        <w:ind w:left="720" w:hanging="360"/>
      </w:pPr>
      <w:rPr>
        <w:rFonts w:hint="default"/>
        <w:sz w:val="22"/>
        <w:szCs w:val="22"/>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A903648"/>
    <w:multiLevelType w:val="hybridMultilevel"/>
    <w:tmpl w:val="500A08F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2332759F"/>
    <w:multiLevelType w:val="hybridMultilevel"/>
    <w:tmpl w:val="272AD39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2B592958"/>
    <w:multiLevelType w:val="hybridMultilevel"/>
    <w:tmpl w:val="47E477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4FA234E7"/>
    <w:multiLevelType w:val="hybridMultilevel"/>
    <w:tmpl w:val="D2DCFF40"/>
    <w:lvl w:ilvl="0" w:tplc="BFA4799C">
      <w:start w:val="2"/>
      <w:numFmt w:val="bullet"/>
      <w:lvlText w:val="-"/>
      <w:lvlJc w:val="left"/>
      <w:pPr>
        <w:ind w:left="720" w:hanging="360"/>
      </w:pPr>
      <w:rPr>
        <w:rFonts w:ascii="Sylfaen" w:eastAsia="Times New Roman" w:hAnsi="Sylfae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593B65F6"/>
    <w:multiLevelType w:val="hybridMultilevel"/>
    <w:tmpl w:val="86F04806"/>
    <w:lvl w:ilvl="0" w:tplc="7A8E2818">
      <w:start w:val="5"/>
      <w:numFmt w:val="bullet"/>
      <w:lvlText w:val="-"/>
      <w:lvlJc w:val="left"/>
      <w:pPr>
        <w:ind w:left="420" w:hanging="360"/>
      </w:pPr>
      <w:rPr>
        <w:rFonts w:ascii="Sylfaen" w:eastAsia="Times New Roman" w:hAnsi="Sylfaen" w:hint="default"/>
      </w:rPr>
    </w:lvl>
    <w:lvl w:ilvl="1" w:tplc="04090003">
      <w:start w:val="1"/>
      <w:numFmt w:val="bullet"/>
      <w:lvlText w:val="o"/>
      <w:lvlJc w:val="left"/>
      <w:pPr>
        <w:ind w:left="1140" w:hanging="360"/>
      </w:pPr>
      <w:rPr>
        <w:rFonts w:ascii="Courier New" w:hAnsi="Courier New" w:cs="Courier New" w:hint="default"/>
      </w:rPr>
    </w:lvl>
    <w:lvl w:ilvl="2" w:tplc="04090005">
      <w:start w:val="1"/>
      <w:numFmt w:val="bullet"/>
      <w:lvlText w:val=""/>
      <w:lvlJc w:val="left"/>
      <w:pPr>
        <w:ind w:left="1860" w:hanging="360"/>
      </w:pPr>
      <w:rPr>
        <w:rFonts w:ascii="Wingdings" w:hAnsi="Wingdings" w:cs="Wingdings" w:hint="default"/>
      </w:rPr>
    </w:lvl>
    <w:lvl w:ilvl="3" w:tplc="04090001">
      <w:start w:val="1"/>
      <w:numFmt w:val="bullet"/>
      <w:lvlText w:val=""/>
      <w:lvlJc w:val="left"/>
      <w:pPr>
        <w:ind w:left="2580" w:hanging="360"/>
      </w:pPr>
      <w:rPr>
        <w:rFonts w:ascii="Symbol" w:hAnsi="Symbol" w:cs="Symbol" w:hint="default"/>
      </w:rPr>
    </w:lvl>
    <w:lvl w:ilvl="4" w:tplc="04090003">
      <w:start w:val="1"/>
      <w:numFmt w:val="bullet"/>
      <w:lvlText w:val="o"/>
      <w:lvlJc w:val="left"/>
      <w:pPr>
        <w:ind w:left="3300" w:hanging="360"/>
      </w:pPr>
      <w:rPr>
        <w:rFonts w:ascii="Courier New" w:hAnsi="Courier New" w:cs="Courier New" w:hint="default"/>
      </w:rPr>
    </w:lvl>
    <w:lvl w:ilvl="5" w:tplc="04090005">
      <w:start w:val="1"/>
      <w:numFmt w:val="bullet"/>
      <w:lvlText w:val=""/>
      <w:lvlJc w:val="left"/>
      <w:pPr>
        <w:ind w:left="4020" w:hanging="360"/>
      </w:pPr>
      <w:rPr>
        <w:rFonts w:ascii="Wingdings" w:hAnsi="Wingdings" w:cs="Wingdings" w:hint="default"/>
      </w:rPr>
    </w:lvl>
    <w:lvl w:ilvl="6" w:tplc="04090001">
      <w:start w:val="1"/>
      <w:numFmt w:val="bullet"/>
      <w:lvlText w:val=""/>
      <w:lvlJc w:val="left"/>
      <w:pPr>
        <w:ind w:left="4740" w:hanging="360"/>
      </w:pPr>
      <w:rPr>
        <w:rFonts w:ascii="Symbol" w:hAnsi="Symbol" w:cs="Symbol" w:hint="default"/>
      </w:rPr>
    </w:lvl>
    <w:lvl w:ilvl="7" w:tplc="04090003">
      <w:start w:val="1"/>
      <w:numFmt w:val="bullet"/>
      <w:lvlText w:val="o"/>
      <w:lvlJc w:val="left"/>
      <w:pPr>
        <w:ind w:left="5460" w:hanging="360"/>
      </w:pPr>
      <w:rPr>
        <w:rFonts w:ascii="Courier New" w:hAnsi="Courier New" w:cs="Courier New" w:hint="default"/>
      </w:rPr>
    </w:lvl>
    <w:lvl w:ilvl="8" w:tplc="04090005">
      <w:start w:val="1"/>
      <w:numFmt w:val="bullet"/>
      <w:lvlText w:val=""/>
      <w:lvlJc w:val="left"/>
      <w:pPr>
        <w:ind w:left="6180" w:hanging="360"/>
      </w:pPr>
      <w:rPr>
        <w:rFonts w:ascii="Wingdings" w:hAnsi="Wingdings" w:cs="Wingdings" w:hint="default"/>
      </w:rPr>
    </w:lvl>
  </w:abstractNum>
  <w:abstractNum w:abstractNumId="7">
    <w:nsid w:val="637D6CCC"/>
    <w:multiLevelType w:val="hybridMultilevel"/>
    <w:tmpl w:val="336ABBE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57F6"/>
    <w:rsid w:val="000A3C36"/>
    <w:rsid w:val="000A5F7C"/>
    <w:rsid w:val="000A73F6"/>
    <w:rsid w:val="00104B0B"/>
    <w:rsid w:val="001538D5"/>
    <w:rsid w:val="0018368B"/>
    <w:rsid w:val="001A1559"/>
    <w:rsid w:val="001C0196"/>
    <w:rsid w:val="002108E9"/>
    <w:rsid w:val="00250481"/>
    <w:rsid w:val="002722D3"/>
    <w:rsid w:val="00291C0F"/>
    <w:rsid w:val="002A063F"/>
    <w:rsid w:val="0032071B"/>
    <w:rsid w:val="0034642E"/>
    <w:rsid w:val="00397471"/>
    <w:rsid w:val="003F76F8"/>
    <w:rsid w:val="00406DA8"/>
    <w:rsid w:val="00407A86"/>
    <w:rsid w:val="00425876"/>
    <w:rsid w:val="0048035C"/>
    <w:rsid w:val="00484179"/>
    <w:rsid w:val="004D51A3"/>
    <w:rsid w:val="00512327"/>
    <w:rsid w:val="006752B2"/>
    <w:rsid w:val="00680153"/>
    <w:rsid w:val="006A5864"/>
    <w:rsid w:val="00723F9B"/>
    <w:rsid w:val="007D1A8F"/>
    <w:rsid w:val="007D5C9D"/>
    <w:rsid w:val="007E2AF4"/>
    <w:rsid w:val="00860622"/>
    <w:rsid w:val="00875656"/>
    <w:rsid w:val="008C78A8"/>
    <w:rsid w:val="008D39B7"/>
    <w:rsid w:val="00931DF2"/>
    <w:rsid w:val="009A13B1"/>
    <w:rsid w:val="009B5B6F"/>
    <w:rsid w:val="00AD2CB5"/>
    <w:rsid w:val="00AE467B"/>
    <w:rsid w:val="00AE57F6"/>
    <w:rsid w:val="00B11B92"/>
    <w:rsid w:val="00B74E81"/>
    <w:rsid w:val="00C119F7"/>
    <w:rsid w:val="00C26E0F"/>
    <w:rsid w:val="00C765F2"/>
    <w:rsid w:val="00C775C4"/>
    <w:rsid w:val="00CC236C"/>
    <w:rsid w:val="00CC74FF"/>
    <w:rsid w:val="00CF308D"/>
    <w:rsid w:val="00D10E69"/>
    <w:rsid w:val="00D1237C"/>
    <w:rsid w:val="00D54561"/>
    <w:rsid w:val="00D63679"/>
    <w:rsid w:val="00D63A54"/>
    <w:rsid w:val="00D66895"/>
    <w:rsid w:val="00DD2762"/>
    <w:rsid w:val="00E73AAD"/>
    <w:rsid w:val="00ED3DEF"/>
    <w:rsid w:val="00F77EB6"/>
    <w:rsid w:val="00FC45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7F6"/>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D10E69"/>
    <w:pPr>
      <w:ind w:left="720"/>
    </w:pPr>
  </w:style>
  <w:style w:type="character" w:styleId="Hyperlink">
    <w:name w:val="Hyperlink"/>
    <w:basedOn w:val="DefaultParagraphFont"/>
    <w:uiPriority w:val="99"/>
    <w:rsid w:val="00D10E69"/>
    <w:rPr>
      <w:color w:val="0000FF"/>
      <w:u w:val="single"/>
    </w:rPr>
  </w:style>
  <w:style w:type="character" w:customStyle="1" w:styleId="longtext">
    <w:name w:val="long_text"/>
    <w:basedOn w:val="DefaultParagraphFont"/>
    <w:uiPriority w:val="99"/>
    <w:rsid w:val="0048035C"/>
  </w:style>
  <w:style w:type="character" w:customStyle="1" w:styleId="hps">
    <w:name w:val="hps"/>
    <w:basedOn w:val="DefaultParagraphFont"/>
    <w:uiPriority w:val="99"/>
    <w:rsid w:val="0048035C"/>
  </w:style>
  <w:style w:type="table" w:styleId="TableGrid">
    <w:name w:val="Table Grid"/>
    <w:basedOn w:val="TableNormal"/>
    <w:uiPriority w:val="99"/>
    <w:rsid w:val="0048035C"/>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32071B"/>
    <w:pPr>
      <w:autoSpaceDE w:val="0"/>
      <w:autoSpaceDN w:val="0"/>
      <w:adjustRightInd w:val="0"/>
    </w:pPr>
    <w:rPr>
      <w:rFonts w:ascii="Sylfaen" w:eastAsia="Times New Roman" w:hAnsi="Sylfaen" w:cs="Sylfaen"/>
      <w:color w:val="000000"/>
      <w:sz w:val="24"/>
      <w:szCs w:val="24"/>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hr.com.ge/ViewNew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160</TotalTime>
  <Pages>4</Pages>
  <Words>731</Words>
  <Characters>4167</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indira</cp:lastModifiedBy>
  <cp:revision>31</cp:revision>
  <cp:lastPrinted>2011-10-19T08:08:00Z</cp:lastPrinted>
  <dcterms:created xsi:type="dcterms:W3CDTF">2011-10-11T05:46:00Z</dcterms:created>
  <dcterms:modified xsi:type="dcterms:W3CDTF">2011-10-19T08:09:00Z</dcterms:modified>
</cp:coreProperties>
</file>